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90"/>
        <w:gridCol w:w="5040"/>
      </w:tblGrid>
      <w:tr w:rsidR="00214BC6" w:rsidRPr="00C226D8" w:rsidTr="00EA5DFC">
        <w:trPr>
          <w:cantSplit/>
          <w:trHeight w:val="890"/>
        </w:trPr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3A5D9A" w:rsidRDefault="00214BC6" w:rsidP="00F104C8">
            <w:pPr>
              <w:spacing w:after="0"/>
              <w:contextualSpacing/>
              <w:jc w:val="center"/>
              <w:rPr>
                <w:rFonts w:ascii="Bodoni MT Black" w:hAnsi="Bodoni MT Blac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3A5D9A">
              <w:rPr>
                <w:rFonts w:ascii="Bodoni MT Black" w:hAnsi="Bodoni MT Black"/>
                <w:color w:val="000000" w:themeColor="text1"/>
                <w:sz w:val="32"/>
                <w:szCs w:val="32"/>
              </w:rPr>
              <w:t xml:space="preserve">CCSSO Standards for Mathematical Practice </w:t>
            </w:r>
          </w:p>
          <w:p w:rsidR="00214BC6" w:rsidRPr="00A128BB" w:rsidRDefault="00214BC6" w:rsidP="00F104C8">
            <w:pPr>
              <w:spacing w:after="0"/>
              <w:contextualSpacing/>
              <w:jc w:val="center"/>
              <w:rPr>
                <w:rFonts w:ascii="Kino MT" w:hAnsi="Kino MT"/>
                <w:color w:val="000000" w:themeColor="text1"/>
                <w:sz w:val="44"/>
                <w:szCs w:val="44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Student “Look-</w:t>
            </w:r>
            <w:proofErr w:type="spellStart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Fors</w:t>
            </w:r>
            <w:proofErr w:type="spellEnd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”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C226D8" w:rsidRDefault="00214BC6" w:rsidP="00F104C8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3A5D9A" w:rsidRDefault="00214BC6" w:rsidP="00F104C8">
            <w:pPr>
              <w:spacing w:after="0"/>
              <w:contextualSpacing/>
              <w:jc w:val="center"/>
              <w:rPr>
                <w:rFonts w:ascii="Bodoni MT Black" w:hAnsi="Bodoni MT Black"/>
                <w:color w:val="000000" w:themeColor="text1"/>
                <w:sz w:val="32"/>
                <w:szCs w:val="32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32"/>
                <w:szCs w:val="32"/>
              </w:rPr>
              <w:t xml:space="preserve">CCSSO Standards for Mathematical Practice </w:t>
            </w:r>
          </w:p>
          <w:p w:rsidR="00214BC6" w:rsidRPr="00C226D8" w:rsidRDefault="00214BC6" w:rsidP="00F104C8">
            <w:pPr>
              <w:spacing w:after="0"/>
              <w:ind w:left="-18" w:firstLine="1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Student “Look-</w:t>
            </w:r>
            <w:proofErr w:type="spellStart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Fors</w:t>
            </w:r>
            <w:proofErr w:type="spellEnd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”</w:t>
            </w:r>
          </w:p>
        </w:tc>
      </w:tr>
      <w:tr w:rsidR="00214BC6" w:rsidRPr="00645902" w:rsidTr="00EA5DFC">
        <w:trPr>
          <w:cantSplit/>
          <w:trHeight w:val="1478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color w:val="C45911" w:themeColor="accent2" w:themeShade="BF"/>
                <w:sz w:val="28"/>
                <w:szCs w:val="28"/>
              </w:rPr>
              <w:t>1.  Make sense of problems and persevere in solving them</w:t>
            </w:r>
            <w:r w:rsidRPr="00645902"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 xml:space="preserve">Consider or attempt multiple entry points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Analyze information (givens, constrains, relationships, goals)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 xml:space="preserve">Make conjectures and plan a solution pathway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Use objects, drawings, and diagrams to solve problems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Monitor progress and change course as necessary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Check answers to problems and ask, “Does this make sense?”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eastAsia="Arial Unicode MS" w:hAnsi="Corbel" w:cs="Arial Unicode MS"/>
                <w:b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color w:val="C45911" w:themeColor="accent2" w:themeShade="BF"/>
                <w:sz w:val="28"/>
                <w:szCs w:val="28"/>
              </w:rPr>
              <w:t>1.  Make sense of problems and persevere in solving them</w:t>
            </w:r>
            <w:r w:rsidRPr="00645902"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 xml:space="preserve">Consider or attempt multiple entry points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Analyze information (givens, constrains, relationships, goals)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 xml:space="preserve">Make conjectures and plan a solution pathway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Use objects, drawings, and diagrams to solve problems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Monitor progress and change course as necessary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Check answers to problems and ask, “Does this make sense?”</w:t>
            </w:r>
          </w:p>
        </w:tc>
      </w:tr>
      <w:tr w:rsidR="00214BC6" w:rsidRPr="00BE2281" w:rsidTr="00C42AF3">
        <w:trPr>
          <w:cantSplit/>
          <w:trHeight w:val="1277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86" w:hanging="286"/>
              <w:contextualSpacing/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0A097C"/>
                <w:sz w:val="28"/>
                <w:szCs w:val="28"/>
              </w:rPr>
              <w:t>2.  Reason abstractly and quantitatively</w:t>
            </w:r>
            <w:r w:rsidRPr="00645902"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  <w:t xml:space="preserve">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Make sense of quantities and relationships in problem situations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 xml:space="preserve">Represent abstract situations symbolically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 xml:space="preserve">Create a coherent representation of the problem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Translate from contextualized to generalized or vice versa</w:t>
            </w:r>
          </w:p>
          <w:p w:rsidR="00214BC6" w:rsidRPr="004F0521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Flexi</w:t>
            </w:r>
            <w:r>
              <w:rPr>
                <w:rFonts w:ascii="Corbel" w:eastAsia="Arial Unicode MS" w:hAnsi="Corbel" w:cs="Arial Unicode MS"/>
                <w:color w:val="0A097C"/>
              </w:rPr>
              <w:t>bly use properties of operations</w:t>
            </w:r>
          </w:p>
        </w:tc>
        <w:tc>
          <w:tcPr>
            <w:tcW w:w="99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86" w:hanging="286"/>
              <w:contextualSpacing/>
              <w:rPr>
                <w:rFonts w:ascii="Corbel" w:eastAsia="Arial Unicode MS" w:hAnsi="Corbel" w:cs="Arial Unicode MS"/>
                <w:b/>
                <w:bCs/>
                <w:color w:val="0A097C"/>
                <w:sz w:val="26"/>
                <w:szCs w:val="26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86" w:hanging="286"/>
              <w:contextualSpacing/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0A097C"/>
                <w:sz w:val="28"/>
                <w:szCs w:val="28"/>
              </w:rPr>
              <w:t>2.  Reason abstractly and quantitatively</w:t>
            </w:r>
            <w:r w:rsidRPr="00645902"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  <w:t xml:space="preserve">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Make sense of quantities and relationships in problem situations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 xml:space="preserve">Represent abstract situations symbolically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 xml:space="preserve">Create a coherent representation of the problem 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Translate from contextualized to generalized or vice versa</w:t>
            </w:r>
          </w:p>
          <w:p w:rsidR="00214BC6" w:rsidRPr="004F0521" w:rsidRDefault="00214BC6" w:rsidP="00F104C8">
            <w:pPr>
              <w:pStyle w:val="ListParagraph"/>
              <w:numPr>
                <w:ilvl w:val="0"/>
                <w:numId w:val="7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Flexibly use properties of operations</w:t>
            </w:r>
          </w:p>
        </w:tc>
      </w:tr>
      <w:tr w:rsidR="00C42AF3" w:rsidRPr="00645902" w:rsidTr="00C42AF3">
        <w:trPr>
          <w:cantSplit/>
          <w:trHeight w:val="1478"/>
        </w:trPr>
        <w:tc>
          <w:tcPr>
            <w:tcW w:w="50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C45911" w:themeColor="accent2" w:themeShade="BF"/>
                <w:sz w:val="28"/>
                <w:szCs w:val="28"/>
              </w:rPr>
              <w:t>3. Construct viable arguments and critique the reasoning of others</w:t>
            </w:r>
            <w:r w:rsidRPr="00645902">
              <w:rPr>
                <w:rFonts w:ascii="Corbel" w:eastAsia="Arial Unicode MS" w:hAnsi="Corbel" w:cs="Arial Unicode MS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Use definitions and previously established causes/effects (results) in constructing arguments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Make conjectures and use counterexamples to build a logical progression of statements to explore and support their ideas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Listen to or read the arguments of others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Ask probing questions to other students</w:t>
            </w:r>
          </w:p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0A097C"/>
                <w:sz w:val="28"/>
                <w:szCs w:val="28"/>
              </w:rPr>
              <w:t>4.  Model with mathematics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Determine equation that represents a situation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Illustrate mathematical relationships using diagrams, two-way tables, graphs, flowcharts and formulas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Apply assumptions to make a problem simpler</w:t>
            </w:r>
          </w:p>
          <w:p w:rsidR="00C42AF3" w:rsidRPr="00EA5DFC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  <w:sz w:val="26"/>
                <w:szCs w:val="26"/>
              </w:rPr>
            </w:pPr>
            <w:r w:rsidRPr="001D17C8">
              <w:rPr>
                <w:rFonts w:ascii="Corbel" w:eastAsia="Arial Unicode MS" w:hAnsi="Corbel" w:cs="Arial Unicode MS"/>
                <w:color w:val="0A097C"/>
              </w:rPr>
              <w:t>Check to see if an answer makes sense within the context of a situation and change a model when necessary</w:t>
            </w:r>
          </w:p>
          <w:p w:rsidR="00C42AF3" w:rsidRPr="00645902" w:rsidRDefault="00C42AF3" w:rsidP="00EA5DFC">
            <w:pPr>
              <w:pStyle w:val="ListParagraph"/>
              <w:spacing w:after="0"/>
              <w:ind w:left="180"/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C45911" w:themeColor="accent2" w:themeShade="BF"/>
                <w:sz w:val="28"/>
                <w:szCs w:val="28"/>
              </w:rPr>
              <w:t>3. Construct viable arguments and critique the reasoning of others</w:t>
            </w:r>
            <w:r w:rsidRPr="00645902">
              <w:rPr>
                <w:rFonts w:ascii="Corbel" w:eastAsia="Arial Unicode MS" w:hAnsi="Corbel" w:cs="Arial Unicode MS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Use definitions and previously established causes/effects (results) in constructing arguments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Make conjectures and use counterexamples to build a logical progression of statements to explore and support their ideas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Listen to or read the arguments of others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6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C45911" w:themeColor="accent2" w:themeShade="BF"/>
              </w:rPr>
              <w:t>Ask probing questions to other students</w:t>
            </w:r>
            <w:r w:rsidRPr="00645902">
              <w:rPr>
                <w:rFonts w:ascii="Corbel" w:eastAsia="Arial Unicode MS" w:hAnsi="Corbel" w:cs="Arial Unicode MS"/>
                <w:color w:val="C45911" w:themeColor="accent2" w:themeShade="BF"/>
                <w:sz w:val="26"/>
                <w:szCs w:val="26"/>
              </w:rPr>
              <w:t xml:space="preserve"> </w:t>
            </w:r>
          </w:p>
        </w:tc>
      </w:tr>
      <w:tr w:rsidR="00C42AF3" w:rsidRPr="00645902" w:rsidTr="00C42AF3">
        <w:trPr>
          <w:cantSplit/>
          <w:trHeight w:val="1478"/>
        </w:trPr>
        <w:tc>
          <w:tcPr>
            <w:tcW w:w="50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EA5DFC">
            <w:pPr>
              <w:pStyle w:val="ListParagraph"/>
              <w:spacing w:after="0"/>
              <w:ind w:left="180"/>
              <w:rPr>
                <w:rFonts w:ascii="Corbel" w:eastAsia="Arial Unicode MS" w:hAnsi="Corbel" w:cs="Arial Unicode MS"/>
                <w:color w:val="0A097C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b/>
                <w:bCs/>
                <w:color w:val="0A097C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2AF3" w:rsidRPr="00645902" w:rsidRDefault="00C42AF3" w:rsidP="00F104C8">
            <w:pPr>
              <w:spacing w:after="0"/>
              <w:contextualSpacing/>
              <w:rPr>
                <w:rFonts w:ascii="Corbel" w:eastAsia="Arial Unicode MS" w:hAnsi="Corbel" w:cs="Arial Unicode MS"/>
                <w:color w:val="0A097C"/>
                <w:sz w:val="28"/>
                <w:szCs w:val="28"/>
              </w:rPr>
            </w:pPr>
            <w:r w:rsidRPr="00645902">
              <w:rPr>
                <w:rFonts w:ascii="Corbel" w:eastAsia="Arial Unicode MS" w:hAnsi="Corbel" w:cs="Arial Unicode MS"/>
                <w:b/>
                <w:bCs/>
                <w:color w:val="0A097C"/>
                <w:sz w:val="28"/>
                <w:szCs w:val="28"/>
              </w:rPr>
              <w:t>4.  Model with mathematics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Determine equation that represents a situation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Illustrate mathematical relationships using diagrams, two-way tables, graphs, flowcharts and formulas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Apply assumptions to make a problem simpler</w:t>
            </w:r>
          </w:p>
          <w:p w:rsidR="00C42AF3" w:rsidRPr="00645902" w:rsidRDefault="00C42AF3" w:rsidP="00F104C8">
            <w:pPr>
              <w:pStyle w:val="ListParagraph"/>
              <w:numPr>
                <w:ilvl w:val="0"/>
                <w:numId w:val="5"/>
              </w:numPr>
              <w:spacing w:after="0"/>
              <w:ind w:left="180" w:hanging="180"/>
              <w:rPr>
                <w:rFonts w:ascii="Corbel" w:eastAsia="Arial Unicode MS" w:hAnsi="Corbel" w:cs="Arial Unicode MS"/>
                <w:color w:val="0A097C"/>
                <w:sz w:val="26"/>
                <w:szCs w:val="26"/>
              </w:rPr>
            </w:pPr>
            <w:r w:rsidRPr="00645902">
              <w:rPr>
                <w:rFonts w:ascii="Corbel" w:eastAsia="Arial Unicode MS" w:hAnsi="Corbel" w:cs="Arial Unicode MS"/>
                <w:color w:val="0A097C"/>
              </w:rPr>
              <w:t>Check to see if an answer makes sense within the context of a situation and change a model when necessary</w:t>
            </w:r>
          </w:p>
        </w:tc>
      </w:tr>
      <w:tr w:rsidR="00214BC6" w:rsidRPr="00BE2281" w:rsidTr="00C42AF3">
        <w:trPr>
          <w:cantSplit/>
          <w:trHeight w:val="849"/>
        </w:trPr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3A5D9A" w:rsidRDefault="00214BC6" w:rsidP="00F104C8">
            <w:pPr>
              <w:spacing w:after="0"/>
              <w:contextualSpacing/>
              <w:jc w:val="center"/>
              <w:rPr>
                <w:rFonts w:ascii="Bodoni MT Black" w:hAnsi="Bodoni MT Black"/>
                <w:color w:val="000000" w:themeColor="text1"/>
                <w:sz w:val="32"/>
                <w:szCs w:val="32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32"/>
                <w:szCs w:val="32"/>
              </w:rPr>
              <w:lastRenderedPageBreak/>
              <w:t xml:space="preserve">CCSSO Standards for Mathematical Practice </w:t>
            </w:r>
          </w:p>
          <w:p w:rsidR="00214BC6" w:rsidRPr="00A128BB" w:rsidRDefault="00214BC6" w:rsidP="00F104C8">
            <w:pPr>
              <w:spacing w:after="0"/>
              <w:contextualSpacing/>
              <w:jc w:val="center"/>
              <w:rPr>
                <w:rFonts w:ascii="Kino MT" w:hAnsi="Kino MT"/>
                <w:color w:val="000000" w:themeColor="text1"/>
                <w:sz w:val="44"/>
                <w:szCs w:val="44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Student “Look-</w:t>
            </w:r>
            <w:proofErr w:type="spellStart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Fors</w:t>
            </w:r>
            <w:proofErr w:type="spellEnd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”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C226D8" w:rsidRDefault="00214BC6" w:rsidP="00F104C8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3A5D9A" w:rsidRDefault="00214BC6" w:rsidP="00F104C8">
            <w:pPr>
              <w:spacing w:after="0"/>
              <w:contextualSpacing/>
              <w:jc w:val="center"/>
              <w:rPr>
                <w:rFonts w:ascii="Bodoni MT Black" w:hAnsi="Bodoni MT Black"/>
                <w:color w:val="000000" w:themeColor="text1"/>
                <w:sz w:val="32"/>
                <w:szCs w:val="32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32"/>
                <w:szCs w:val="32"/>
              </w:rPr>
              <w:t xml:space="preserve">CCSSO Standards for Mathematical Practice </w:t>
            </w:r>
          </w:p>
          <w:p w:rsidR="00214BC6" w:rsidRPr="00C226D8" w:rsidRDefault="00214BC6" w:rsidP="00F104C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Student “Look-</w:t>
            </w:r>
            <w:proofErr w:type="spellStart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Fors</w:t>
            </w:r>
            <w:proofErr w:type="spellEnd"/>
            <w:r w:rsidRPr="003A5D9A">
              <w:rPr>
                <w:rFonts w:ascii="Bodoni MT Black" w:hAnsi="Bodoni MT Black"/>
                <w:color w:val="000000" w:themeColor="text1"/>
                <w:sz w:val="44"/>
                <w:szCs w:val="44"/>
              </w:rPr>
              <w:t>”</w:t>
            </w:r>
          </w:p>
        </w:tc>
      </w:tr>
      <w:tr w:rsidR="00214BC6" w:rsidRPr="00645902" w:rsidTr="00EA5DFC">
        <w:trPr>
          <w:cantSplit/>
          <w:trHeight w:val="1478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77" w:hanging="277"/>
              <w:contextualSpacing/>
              <w:rPr>
                <w:rFonts w:ascii="Corbel" w:hAnsi="Corbel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C45911" w:themeColor="accent2" w:themeShade="BF"/>
                <w:sz w:val="28"/>
                <w:szCs w:val="28"/>
              </w:rPr>
              <w:t>5.  Use appropriate tools strategically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 xml:space="preserve">Choose tools that are appropriate for the task. </w:t>
            </w:r>
          </w:p>
          <w:p w:rsidR="00214BC6" w:rsidRPr="002C6243" w:rsidRDefault="00214BC6" w:rsidP="00F104C8">
            <w:pPr>
              <w:pStyle w:val="ListParagraph"/>
              <w:spacing w:after="0"/>
              <w:ind w:left="180"/>
              <w:rPr>
                <w:rFonts w:ascii="Corbel" w:hAnsi="Corbel"/>
                <w:i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 xml:space="preserve">Examples: </w:t>
            </w:r>
            <w:r>
              <w:rPr>
                <w:rFonts w:ascii="Corbel" w:hAnsi="Corbel"/>
                <w:i/>
                <w:color w:val="C45911" w:themeColor="accent2" w:themeShade="BF"/>
              </w:rPr>
              <w:t xml:space="preserve">Manipulative, Calculator, Ruler, </w:t>
            </w:r>
            <w:r w:rsidRPr="00645902">
              <w:rPr>
                <w:rFonts w:ascii="Corbel" w:hAnsi="Corbel"/>
                <w:i/>
                <w:color w:val="C45911" w:themeColor="accent2" w:themeShade="BF"/>
              </w:rPr>
              <w:t>Digital Technology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>Use technological tools to visualize the results of assumptions, explore consequences and compare predications with data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>Identify relevant external math resources (digital content on a website) and use them to pose or solve problems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77" w:hanging="277"/>
              <w:contextualSpacing/>
              <w:rPr>
                <w:rFonts w:ascii="Corbel" w:hAnsi="Corbel"/>
                <w:b/>
                <w:bCs/>
                <w:color w:val="C45911" w:themeColor="accent2" w:themeShade="BF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ind w:left="277" w:hanging="277"/>
              <w:contextualSpacing/>
              <w:rPr>
                <w:rFonts w:ascii="Corbel" w:hAnsi="Corbel"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C45911" w:themeColor="accent2" w:themeShade="BF"/>
                <w:sz w:val="28"/>
                <w:szCs w:val="28"/>
              </w:rPr>
              <w:t>5.  Use appropriate tools strategically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 xml:space="preserve">Choose tools that are appropriate for the task. </w:t>
            </w:r>
          </w:p>
          <w:p w:rsidR="00214BC6" w:rsidRPr="002C6243" w:rsidRDefault="00214BC6" w:rsidP="00F104C8">
            <w:pPr>
              <w:pStyle w:val="ListParagraph"/>
              <w:spacing w:after="0"/>
              <w:ind w:left="180"/>
              <w:rPr>
                <w:rFonts w:ascii="Corbel" w:hAnsi="Corbel"/>
                <w:i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 xml:space="preserve">Examples: </w:t>
            </w:r>
            <w:r>
              <w:rPr>
                <w:rFonts w:ascii="Corbel" w:hAnsi="Corbel"/>
                <w:i/>
                <w:color w:val="C45911" w:themeColor="accent2" w:themeShade="BF"/>
              </w:rPr>
              <w:t xml:space="preserve">Manipulative, Calculator, Ruler, </w:t>
            </w:r>
            <w:r w:rsidRPr="00645902">
              <w:rPr>
                <w:rFonts w:ascii="Corbel" w:hAnsi="Corbel"/>
                <w:i/>
                <w:color w:val="C45911" w:themeColor="accent2" w:themeShade="BF"/>
              </w:rPr>
              <w:t>Digital Technology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>Use technological tools to visualize the results of assumptions, explore consequences and compare predications with data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Corbel" w:hAnsi="Corbel"/>
                <w:color w:val="C45911" w:themeColor="accent2" w:themeShade="BF"/>
              </w:rPr>
            </w:pPr>
            <w:r w:rsidRPr="00645902">
              <w:rPr>
                <w:rFonts w:ascii="Corbel" w:hAnsi="Corbel"/>
                <w:color w:val="C45911" w:themeColor="accent2" w:themeShade="BF"/>
              </w:rPr>
              <w:t>Identify relevant external math resources (digital content on a website) and use them to pose or solve problems</w:t>
            </w:r>
          </w:p>
        </w:tc>
      </w:tr>
      <w:tr w:rsidR="00214BC6" w:rsidRPr="00645902" w:rsidTr="00EA5DFC">
        <w:trPr>
          <w:cantSplit/>
          <w:trHeight w:val="1178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  <w:t>6. Attend to precision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Communicate precisely using appropriate terminology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Specify units of measure and provide accurate labels on graphs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Express numerical answers with appropriate degree of precision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Provide carefully formulated explanations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bCs/>
                <w:color w:val="0A097C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  <w:t>6. Attend to precision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Communicate precisely using appropriate terminology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Specify units of measure and provide accurate labels on graphs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Express numerical answers with appropriate degree of precision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3"/>
              </w:numPr>
              <w:spacing w:after="0"/>
              <w:ind w:left="180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Provide carefully formulated explanations</w:t>
            </w:r>
          </w:p>
        </w:tc>
      </w:tr>
      <w:tr w:rsidR="00214BC6" w:rsidRPr="00645902" w:rsidTr="00EA5DFC">
        <w:trPr>
          <w:cantSplit/>
          <w:trHeight w:val="1268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orbel" w:eastAsia="Gotham-Book" w:hAnsi="Corbel"/>
                <w:b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C45911" w:themeColor="accent2" w:themeShade="BF"/>
                <w:sz w:val="28"/>
                <w:szCs w:val="28"/>
              </w:rPr>
              <w:t>7.  Look for and make use of structure.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>Look for patterns or structure, recognizing that quantities can be represented in different ways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>Use knowledge of properties to efficiently solve problems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 xml:space="preserve">View complicated quantities both as single objects or compositions of several objects 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orbel" w:hAnsi="Corbel"/>
                <w:b/>
                <w:bCs/>
                <w:color w:val="C45911" w:themeColor="accent2" w:themeShade="BF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orbel" w:eastAsia="Gotham-Book" w:hAnsi="Corbel"/>
                <w:b/>
                <w:color w:val="C45911" w:themeColor="accent2" w:themeShade="BF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C45911" w:themeColor="accent2" w:themeShade="BF"/>
                <w:sz w:val="28"/>
                <w:szCs w:val="28"/>
              </w:rPr>
              <w:t>7.  Look for and make use of structure.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>Look for patterns or structure, recognizing that quantities can be represented in different ways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>Use knowledge of properties to efficiently solve problems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80" w:hanging="180"/>
              <w:rPr>
                <w:rFonts w:ascii="Corbel" w:eastAsia="Gotham-Book" w:hAnsi="Corbel"/>
                <w:color w:val="C45911" w:themeColor="accent2" w:themeShade="BF"/>
              </w:rPr>
            </w:pPr>
            <w:r w:rsidRPr="00645902">
              <w:rPr>
                <w:rFonts w:ascii="Corbel" w:eastAsia="Gotham-Book" w:hAnsi="Corbel"/>
                <w:color w:val="C45911" w:themeColor="accent2" w:themeShade="BF"/>
              </w:rPr>
              <w:t xml:space="preserve">View complicated quantities both as single objects or compositions of several objects </w:t>
            </w:r>
          </w:p>
        </w:tc>
      </w:tr>
      <w:tr w:rsidR="00214BC6" w:rsidRPr="00645902" w:rsidTr="00EA5DFC">
        <w:trPr>
          <w:cantSplit/>
          <w:trHeight w:val="1340"/>
        </w:trPr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color w:val="0A097C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  <w:t>8.  Look for and express regularity in repeated reasoning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1"/>
              </w:numPr>
              <w:spacing w:after="0"/>
              <w:ind w:left="163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Notice repeated calculations and look for general methods and shortcuts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1"/>
              </w:numPr>
              <w:spacing w:after="0"/>
              <w:ind w:left="163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Continually evaluate the reasonableness of intermediate results while attending to details and make generalizations based on findings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bCs/>
                <w:color w:val="0A097C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14BC6" w:rsidRPr="00645902" w:rsidRDefault="00214BC6" w:rsidP="00F104C8">
            <w:pPr>
              <w:spacing w:after="0"/>
              <w:contextualSpacing/>
              <w:rPr>
                <w:rFonts w:ascii="Corbel" w:hAnsi="Corbel"/>
                <w:b/>
                <w:color w:val="0A097C"/>
                <w:sz w:val="28"/>
                <w:szCs w:val="28"/>
              </w:rPr>
            </w:pPr>
            <w:r w:rsidRPr="00645902">
              <w:rPr>
                <w:rFonts w:ascii="Corbel" w:hAnsi="Corbel"/>
                <w:b/>
                <w:bCs/>
                <w:color w:val="0A097C"/>
                <w:sz w:val="28"/>
                <w:szCs w:val="28"/>
              </w:rPr>
              <w:t>8.  Look for and express regularity in repeated reasoning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1"/>
              </w:numPr>
              <w:spacing w:after="0"/>
              <w:ind w:left="163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Notice repeated calculations and look for general methods and shortcuts</w:t>
            </w:r>
          </w:p>
          <w:p w:rsidR="00214BC6" w:rsidRPr="00645902" w:rsidRDefault="00214BC6" w:rsidP="00F104C8">
            <w:pPr>
              <w:pStyle w:val="ListParagraph"/>
              <w:numPr>
                <w:ilvl w:val="0"/>
                <w:numId w:val="1"/>
              </w:numPr>
              <w:spacing w:after="0"/>
              <w:ind w:left="163" w:hanging="180"/>
              <w:rPr>
                <w:rFonts w:ascii="Corbel" w:hAnsi="Corbel"/>
                <w:color w:val="0A097C"/>
              </w:rPr>
            </w:pPr>
            <w:r w:rsidRPr="00645902">
              <w:rPr>
                <w:rFonts w:ascii="Corbel" w:hAnsi="Corbel"/>
                <w:color w:val="0A097C"/>
              </w:rPr>
              <w:t>Continually evaluate the reasonableness of intermediate results while attending to details and make generalizations based on findings</w:t>
            </w:r>
          </w:p>
        </w:tc>
      </w:tr>
      <w:tr w:rsidR="00214BC6" w:rsidRPr="00C226D8" w:rsidTr="00973618">
        <w:trPr>
          <w:cantSplit/>
          <w:trHeight w:val="2187"/>
        </w:trPr>
        <w:tc>
          <w:tcPr>
            <w:tcW w:w="50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3618" w:rsidRDefault="00973618" w:rsidP="00214BC6">
            <w:pPr>
              <w:spacing w:after="0"/>
              <w:contextualSpacing/>
              <w:rPr>
                <w:rFonts w:ascii="Corbel" w:hAnsi="Corbel"/>
                <w:sz w:val="20"/>
                <w:szCs w:val="20"/>
              </w:rPr>
            </w:pPr>
          </w:p>
          <w:p w:rsidR="00973618" w:rsidRDefault="00973618" w:rsidP="00214BC6">
            <w:pPr>
              <w:spacing w:after="0"/>
              <w:contextualSpacing/>
              <w:rPr>
                <w:rFonts w:ascii="Corbel" w:hAnsi="Corbel"/>
                <w:sz w:val="20"/>
                <w:szCs w:val="20"/>
              </w:rPr>
            </w:pPr>
          </w:p>
          <w:p w:rsidR="00214BC6" w:rsidRPr="00214BC6" w:rsidRDefault="00214BC6" w:rsidP="00214BC6">
            <w:pPr>
              <w:spacing w:after="0"/>
              <w:contextualSpacing/>
              <w:rPr>
                <w:rFonts w:ascii="Corbel" w:hAnsi="Corbel" w:cs="Times"/>
                <w:i/>
                <w:sz w:val="20"/>
                <w:szCs w:val="20"/>
              </w:rPr>
            </w:pPr>
            <w:r w:rsidRPr="00214BC6">
              <w:rPr>
                <w:rFonts w:ascii="Corbel" w:hAnsi="Corbel"/>
                <w:sz w:val="20"/>
                <w:szCs w:val="20"/>
              </w:rPr>
              <w:t>Adapted from</w:t>
            </w:r>
            <w:r w:rsidRPr="00214BC6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proofErr w:type="spellStart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ems&amp;tl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as cited in Bay-Williams, J.M., </w:t>
            </w:r>
            <w:proofErr w:type="spellStart"/>
            <w:r w:rsidRPr="00214BC6">
              <w:rPr>
                <w:rFonts w:ascii="Corbel" w:hAnsi="Corbel"/>
                <w:sz w:val="20"/>
                <w:szCs w:val="20"/>
              </w:rPr>
              <w:t>McGatha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M.B., </w:t>
            </w:r>
            <w:proofErr w:type="spellStart"/>
            <w:r w:rsidRPr="00214BC6">
              <w:rPr>
                <w:rFonts w:ascii="Corbel" w:hAnsi="Corbel"/>
                <w:sz w:val="20"/>
                <w:szCs w:val="20"/>
              </w:rPr>
              <w:t>Kobett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B. M., &amp; Wray, J. (in press). </w:t>
            </w:r>
            <w:r w:rsidRPr="00214BC6">
              <w:rPr>
                <w:rFonts w:ascii="Corbel" w:hAnsi="Corbel"/>
                <w:i/>
                <w:sz w:val="20"/>
                <w:szCs w:val="20"/>
              </w:rPr>
              <w:t xml:space="preserve">Mathematics Coaching Tools: </w:t>
            </w:r>
            <w:r w:rsidRPr="00214BC6">
              <w:rPr>
                <w:rFonts w:ascii="Corbel" w:eastAsiaTheme="minorEastAsia" w:hAnsi="Corbel"/>
                <w:i/>
                <w:iCs/>
                <w:sz w:val="20"/>
                <w:szCs w:val="20"/>
              </w:rPr>
              <w:t>A Handbook for K-12 Coaches and Leaders</w:t>
            </w:r>
            <w:r w:rsidRPr="00214BC6">
              <w:rPr>
                <w:rFonts w:ascii="Corbel" w:eastAsiaTheme="minorEastAsia" w:hAnsi="Corbel"/>
                <w:sz w:val="20"/>
                <w:szCs w:val="20"/>
              </w:rPr>
              <w:t xml:space="preserve">. </w:t>
            </w:r>
            <w:r w:rsidRPr="00214BC6">
              <w:rPr>
                <w:rFonts w:ascii="Corbel" w:hAnsi="Corbel"/>
                <w:sz w:val="20"/>
                <w:szCs w:val="20"/>
              </w:rPr>
              <w:t>New York, NY: Pearson.</w:t>
            </w:r>
          </w:p>
          <w:p w:rsidR="00214BC6" w:rsidRPr="00475A07" w:rsidRDefault="00214BC6" w:rsidP="00214BC6">
            <w:pPr>
              <w:spacing w:after="0"/>
              <w:contextualSpacing/>
              <w:rPr>
                <w:rFonts w:ascii="Corbel" w:hAnsi="Corbel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4BC6" w:rsidRPr="00BE2281" w:rsidRDefault="00214BC6" w:rsidP="00F104C8">
            <w:pPr>
              <w:spacing w:after="0"/>
              <w:contextualSpacing/>
              <w:rPr>
                <w:rFonts w:ascii="Corbel" w:hAnsi="Corbel"/>
                <w:b/>
                <w:bCs/>
                <w:color w:val="000000" w:themeColor="text1"/>
              </w:rPr>
            </w:pPr>
          </w:p>
        </w:tc>
        <w:tc>
          <w:tcPr>
            <w:tcW w:w="50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3618" w:rsidRDefault="00973618" w:rsidP="00214BC6">
            <w:pPr>
              <w:spacing w:after="0"/>
              <w:contextualSpacing/>
              <w:rPr>
                <w:rFonts w:ascii="Corbel" w:hAnsi="Corbel"/>
                <w:sz w:val="20"/>
                <w:szCs w:val="20"/>
              </w:rPr>
            </w:pPr>
          </w:p>
          <w:p w:rsidR="00973618" w:rsidRDefault="00973618" w:rsidP="00214BC6">
            <w:pPr>
              <w:spacing w:after="0"/>
              <w:contextualSpacing/>
              <w:rPr>
                <w:rFonts w:ascii="Corbel" w:hAnsi="Corbel"/>
                <w:sz w:val="20"/>
                <w:szCs w:val="20"/>
              </w:rPr>
            </w:pPr>
          </w:p>
          <w:p w:rsidR="00214BC6" w:rsidRPr="00214BC6" w:rsidRDefault="00214BC6" w:rsidP="00214BC6">
            <w:pPr>
              <w:spacing w:after="0"/>
              <w:contextualSpacing/>
              <w:rPr>
                <w:rFonts w:ascii="Corbel" w:hAnsi="Corbel" w:cs="Times"/>
                <w:i/>
                <w:sz w:val="20"/>
                <w:szCs w:val="20"/>
              </w:rPr>
            </w:pPr>
            <w:r w:rsidRPr="00214BC6">
              <w:rPr>
                <w:rFonts w:ascii="Corbel" w:hAnsi="Corbel"/>
                <w:sz w:val="20"/>
                <w:szCs w:val="20"/>
              </w:rPr>
              <w:t>Adapted from</w:t>
            </w:r>
            <w:r w:rsidRPr="00214BC6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proofErr w:type="spellStart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ems&amp;tl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as cited in Bay-Williams, J.M., </w:t>
            </w:r>
            <w:proofErr w:type="spellStart"/>
            <w:r w:rsidRPr="00214BC6">
              <w:rPr>
                <w:rFonts w:ascii="Corbel" w:hAnsi="Corbel"/>
                <w:sz w:val="20"/>
                <w:szCs w:val="20"/>
              </w:rPr>
              <w:t>McGatha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M.B., </w:t>
            </w:r>
            <w:proofErr w:type="spellStart"/>
            <w:r w:rsidRPr="00214BC6">
              <w:rPr>
                <w:rFonts w:ascii="Corbel" w:hAnsi="Corbel"/>
                <w:sz w:val="20"/>
                <w:szCs w:val="20"/>
              </w:rPr>
              <w:t>Kobett</w:t>
            </w:r>
            <w:proofErr w:type="spellEnd"/>
            <w:r w:rsidRPr="00214BC6">
              <w:rPr>
                <w:rFonts w:ascii="Corbel" w:hAnsi="Corbel"/>
                <w:sz w:val="20"/>
                <w:szCs w:val="20"/>
              </w:rPr>
              <w:t xml:space="preserve">, B. M., &amp; Wray, J. (in press). </w:t>
            </w:r>
            <w:r w:rsidRPr="00214BC6">
              <w:rPr>
                <w:rFonts w:ascii="Corbel" w:hAnsi="Corbel"/>
                <w:i/>
                <w:sz w:val="20"/>
                <w:szCs w:val="20"/>
              </w:rPr>
              <w:t xml:space="preserve">Mathematics Coaching Tools: </w:t>
            </w:r>
            <w:r w:rsidRPr="00214BC6">
              <w:rPr>
                <w:rFonts w:ascii="Corbel" w:eastAsiaTheme="minorEastAsia" w:hAnsi="Corbel"/>
                <w:i/>
                <w:iCs/>
                <w:sz w:val="20"/>
                <w:szCs w:val="20"/>
              </w:rPr>
              <w:t>A Handbook for K-12 Coaches and Leaders</w:t>
            </w:r>
            <w:r w:rsidRPr="00214BC6">
              <w:rPr>
                <w:rFonts w:ascii="Corbel" w:eastAsiaTheme="minorEastAsia" w:hAnsi="Corbel"/>
                <w:sz w:val="20"/>
                <w:szCs w:val="20"/>
              </w:rPr>
              <w:t xml:space="preserve">. </w:t>
            </w:r>
            <w:r w:rsidRPr="00214BC6">
              <w:rPr>
                <w:rFonts w:ascii="Corbel" w:hAnsi="Corbel"/>
                <w:sz w:val="20"/>
                <w:szCs w:val="20"/>
              </w:rPr>
              <w:t>New York, NY: Pearson.</w:t>
            </w:r>
          </w:p>
          <w:p w:rsidR="00214BC6" w:rsidRPr="00475A07" w:rsidRDefault="00214BC6" w:rsidP="00214BC6">
            <w:pPr>
              <w:spacing w:after="0"/>
              <w:contextualSpacing/>
              <w:rPr>
                <w:rFonts w:ascii="Corbel" w:hAnsi="Corbel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24004D" w:rsidRDefault="0024004D"/>
    <w:sectPr w:rsidR="0024004D" w:rsidSect="00EA5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EE" w:rsidRDefault="003D75EE" w:rsidP="00EA5DFC">
      <w:pPr>
        <w:spacing w:after="0"/>
      </w:pPr>
      <w:r>
        <w:separator/>
      </w:r>
    </w:p>
  </w:endnote>
  <w:endnote w:type="continuationSeparator" w:id="0">
    <w:p w:rsidR="003D75EE" w:rsidRDefault="003D75EE" w:rsidP="00EA5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ino MT">
    <w:altName w:val="Bauhaus 9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EE" w:rsidRDefault="003D75EE" w:rsidP="00EA5DFC">
      <w:pPr>
        <w:spacing w:after="0"/>
      </w:pPr>
      <w:r>
        <w:separator/>
      </w:r>
    </w:p>
  </w:footnote>
  <w:footnote w:type="continuationSeparator" w:id="0">
    <w:p w:rsidR="003D75EE" w:rsidRDefault="003D75EE" w:rsidP="00EA5D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BF"/>
    <w:multiLevelType w:val="hybridMultilevel"/>
    <w:tmpl w:val="359C0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387"/>
    <w:multiLevelType w:val="hybridMultilevel"/>
    <w:tmpl w:val="C9F45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E5A"/>
    <w:multiLevelType w:val="hybridMultilevel"/>
    <w:tmpl w:val="4E126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1592"/>
    <w:multiLevelType w:val="hybridMultilevel"/>
    <w:tmpl w:val="6B087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27BF"/>
    <w:multiLevelType w:val="hybridMultilevel"/>
    <w:tmpl w:val="ECEA7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B22"/>
    <w:multiLevelType w:val="hybridMultilevel"/>
    <w:tmpl w:val="7F9CF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F54AA"/>
    <w:multiLevelType w:val="hybridMultilevel"/>
    <w:tmpl w:val="A2E81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6AF4"/>
    <w:multiLevelType w:val="hybridMultilevel"/>
    <w:tmpl w:val="C1A46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C6"/>
    <w:rsid w:val="0004613E"/>
    <w:rsid w:val="00131811"/>
    <w:rsid w:val="00214BC6"/>
    <w:rsid w:val="0024004D"/>
    <w:rsid w:val="003215B8"/>
    <w:rsid w:val="003A5D9A"/>
    <w:rsid w:val="003D75EE"/>
    <w:rsid w:val="003E46D7"/>
    <w:rsid w:val="005431E1"/>
    <w:rsid w:val="005548C3"/>
    <w:rsid w:val="00561BC1"/>
    <w:rsid w:val="00600BAB"/>
    <w:rsid w:val="00637B81"/>
    <w:rsid w:val="006711ED"/>
    <w:rsid w:val="006746F7"/>
    <w:rsid w:val="006D60FA"/>
    <w:rsid w:val="00742812"/>
    <w:rsid w:val="0087120F"/>
    <w:rsid w:val="009006F8"/>
    <w:rsid w:val="00973618"/>
    <w:rsid w:val="00C42AF3"/>
    <w:rsid w:val="00EA5DFC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FC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D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DF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D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FC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FC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D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DF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D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F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fb7745-8355-456a-9f9c-d05eb09cfefc">WPVP42FVSCVN-312-95</_dlc_DocId>
    <_dlc_DocIdUrl xmlns="e1fb7745-8355-456a-9f9c-d05eb09cfefc">
      <Url>http://www2.research.uky.edu/pimser/p12mso/tmi/_layouts/DocIdRedir.aspx?ID=WPVP42FVSCVN-312-95</Url>
      <Description>WPVP42FVSCVN-312-95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63F3F24F4004E97945063754206CA" ma:contentTypeVersion="0" ma:contentTypeDescription="Create a new document." ma:contentTypeScope="" ma:versionID="23e41b8fb4feb96e809bc3f09d83ab1b">
  <xsd:schema xmlns:xsd="http://www.w3.org/2001/XMLSchema" xmlns:xs="http://www.w3.org/2001/XMLSchema" xmlns:p="http://schemas.microsoft.com/office/2006/metadata/properties" xmlns:ns2="e1fb7745-8355-456a-9f9c-d05eb09cfefc" targetNamespace="http://schemas.microsoft.com/office/2006/metadata/properties" ma:root="true" ma:fieldsID="c5afc29ee812cbcefc50777f4b065f75" ns2:_="">
    <xsd:import namespace="e1fb7745-8355-456a-9f9c-d05eb09cfe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b7745-8355-456a-9f9c-d05eb09cfe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A09B2-6416-4F9F-801B-B8B52DD3937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e1fb7745-8355-456a-9f9c-d05eb09cfefc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48CC9-5832-4447-9692-7D6FD1FE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b7745-8355-456a-9f9c-d05eb09c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82C5A-FE5D-4072-90F0-8B2D82DF92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14C4BB-06D8-44F9-9F24-D5570D51F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Steen</dc:creator>
  <cp:lastModifiedBy>Box, Gayle (KYAE)</cp:lastModifiedBy>
  <cp:revision>2</cp:revision>
  <cp:lastPrinted>2014-06-23T14:55:00Z</cp:lastPrinted>
  <dcterms:created xsi:type="dcterms:W3CDTF">2017-01-18T22:38:00Z</dcterms:created>
  <dcterms:modified xsi:type="dcterms:W3CDTF">2017-01-18T22:38:00Z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0x010100AC263F3F24F4004E97945063754206CA</vt:lpwstr>
  </property>
  <property fmtid="{D5CDD505-2E9C-101B-9397-08002B2CF9AE}" pid="3" name="_dlc_DocIdItemGuid">
    <vt:lpwstr>d5741a69-53c3-4935-826c-8d1e44a5fd35</vt:lpwstr>
  </property>
</Properties>
</file>